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5BEE" w14:textId="77777777" w:rsidR="00DD4771" w:rsidRPr="00DD4771" w:rsidRDefault="00DD4771" w:rsidP="00DD4771">
      <w:pPr>
        <w:ind w:right="240"/>
        <w:jc w:val="center"/>
        <w:rPr>
          <w:sz w:val="24"/>
          <w:szCs w:val="24"/>
        </w:rPr>
      </w:pPr>
      <w:bookmarkStart w:id="0" w:name="page1"/>
      <w:bookmarkEnd w:id="0"/>
      <w:r w:rsidRPr="00DD4771">
        <w:rPr>
          <w:rFonts w:eastAsia="Times New Roman"/>
          <w:b/>
          <w:bCs/>
          <w:sz w:val="24"/>
          <w:szCs w:val="24"/>
        </w:rPr>
        <w:t>TÜRK HAVA KURUMU ÜNİVERSİTESİ</w:t>
      </w:r>
    </w:p>
    <w:p w14:paraId="11598BF6" w14:textId="7030C036" w:rsidR="00DD4771" w:rsidRPr="00DD4771" w:rsidRDefault="00DD4771" w:rsidP="00DD4771">
      <w:pPr>
        <w:spacing w:after="240"/>
        <w:ind w:right="240"/>
        <w:jc w:val="center"/>
        <w:rPr>
          <w:rFonts w:eastAsia="Times New Roman"/>
          <w:b/>
          <w:bCs/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 xml:space="preserve">ÖĞRETİM </w:t>
      </w:r>
      <w:r w:rsidR="00D26B82">
        <w:rPr>
          <w:rFonts w:eastAsia="Times New Roman"/>
          <w:b/>
          <w:bCs/>
          <w:sz w:val="24"/>
          <w:szCs w:val="24"/>
        </w:rPr>
        <w:t>ÜYESİ DIŞINDAKİ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="00285505">
        <w:rPr>
          <w:rFonts w:eastAsia="Times New Roman"/>
          <w:b/>
          <w:bCs/>
          <w:sz w:val="24"/>
          <w:szCs w:val="24"/>
        </w:rPr>
        <w:t xml:space="preserve">ÖĞRETİM ELEMANLARININ </w:t>
      </w:r>
      <w:r w:rsidRPr="00DD4771">
        <w:rPr>
          <w:rFonts w:eastAsia="Times New Roman"/>
          <w:b/>
          <w:bCs/>
          <w:sz w:val="24"/>
          <w:szCs w:val="24"/>
        </w:rPr>
        <w:t>ATA</w:t>
      </w:r>
      <w:r w:rsidR="00285505">
        <w:rPr>
          <w:rFonts w:eastAsia="Times New Roman"/>
          <w:b/>
          <w:bCs/>
          <w:sz w:val="24"/>
          <w:szCs w:val="24"/>
        </w:rPr>
        <w:t>N</w:t>
      </w:r>
      <w:r w:rsidRPr="00DD4771">
        <w:rPr>
          <w:rFonts w:eastAsia="Times New Roman"/>
          <w:b/>
          <w:bCs/>
          <w:sz w:val="24"/>
          <w:szCs w:val="24"/>
        </w:rPr>
        <w:t>MA</w:t>
      </w:r>
      <w:r w:rsidR="00285505">
        <w:rPr>
          <w:rFonts w:eastAsia="Times New Roman"/>
          <w:b/>
          <w:bCs/>
          <w:sz w:val="24"/>
          <w:szCs w:val="24"/>
        </w:rPr>
        <w:t>,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="00285505">
        <w:rPr>
          <w:rFonts w:eastAsia="Times New Roman"/>
          <w:b/>
          <w:bCs/>
          <w:sz w:val="24"/>
          <w:szCs w:val="24"/>
        </w:rPr>
        <w:t>Y</w:t>
      </w:r>
      <w:r w:rsidR="00285505" w:rsidRPr="00DD4771">
        <w:rPr>
          <w:rFonts w:eastAsia="Times New Roman"/>
          <w:b/>
          <w:bCs/>
          <w:sz w:val="24"/>
          <w:szCs w:val="24"/>
        </w:rPr>
        <w:t>ÜKSELTİLME</w:t>
      </w:r>
      <w:r w:rsidR="00285505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b/>
          <w:bCs/>
          <w:sz w:val="24"/>
          <w:szCs w:val="24"/>
        </w:rPr>
        <w:t>VE GÖREV SÜRESİ UZATMA YÖNERGESİ</w:t>
      </w:r>
    </w:p>
    <w:p w14:paraId="4767840C" w14:textId="77777777" w:rsidR="00DD4771" w:rsidRPr="00DD4771" w:rsidRDefault="00DD4771" w:rsidP="00DD4771">
      <w:pPr>
        <w:ind w:right="220"/>
        <w:jc w:val="center"/>
        <w:rPr>
          <w:rFonts w:eastAsia="Times New Roman"/>
          <w:b/>
          <w:bCs/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BİRİNCİ BÖLÜM</w:t>
      </w:r>
    </w:p>
    <w:p w14:paraId="6941903B" w14:textId="77777777" w:rsidR="00DD4771" w:rsidRPr="00DD4771" w:rsidRDefault="00DD4771" w:rsidP="00DD4771">
      <w:pPr>
        <w:spacing w:after="240"/>
        <w:ind w:right="220"/>
        <w:jc w:val="center"/>
        <w:rPr>
          <w:rFonts w:eastAsia="Times New Roman"/>
          <w:b/>
          <w:bCs/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Amaç, Kapsam, Dayanak, Genel Şartlar ve Tanımlar</w:t>
      </w:r>
    </w:p>
    <w:p w14:paraId="13471967" w14:textId="77777777" w:rsidR="00DD4771" w:rsidRPr="00DD4771" w:rsidRDefault="00DD4771" w:rsidP="00DD4771">
      <w:pPr>
        <w:ind w:left="700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Amaç</w:t>
      </w:r>
    </w:p>
    <w:p w14:paraId="29A64276" w14:textId="147FB7FE" w:rsidR="00DD4771" w:rsidRPr="00DD4771" w:rsidRDefault="00DD4771" w:rsidP="00DD4771">
      <w:pPr>
        <w:spacing w:after="240" w:line="271" w:lineRule="auto"/>
        <w:ind w:right="220" w:firstLine="708"/>
        <w:jc w:val="both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 xml:space="preserve">MADDE 1 – </w:t>
      </w:r>
      <w:r w:rsidRPr="00DD4771">
        <w:rPr>
          <w:rFonts w:eastAsia="Times New Roman"/>
          <w:sz w:val="24"/>
          <w:szCs w:val="24"/>
        </w:rPr>
        <w:t>(1)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 xml:space="preserve">Bu </w:t>
      </w:r>
      <w:proofErr w:type="spellStart"/>
      <w:r w:rsidRPr="00DD4771">
        <w:rPr>
          <w:rFonts w:eastAsia="Times New Roman"/>
          <w:sz w:val="24"/>
          <w:szCs w:val="24"/>
        </w:rPr>
        <w:t>Yönerge’nin</w:t>
      </w:r>
      <w:proofErr w:type="spellEnd"/>
      <w:r w:rsidRPr="00DD4771">
        <w:rPr>
          <w:rFonts w:eastAsia="Times New Roman"/>
          <w:sz w:val="24"/>
          <w:szCs w:val="24"/>
        </w:rPr>
        <w:t xml:space="preserve"> amacı; Türk Hava Kurumu Üniversitesi’nde istihdam edilecek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öğretim görevlisi ve araştırma görevlisi kadrolara atanması, yükseltilmesi ve görev süresinin uzatılmasında uygulanacak usul ve esasları belirlemektir.</w:t>
      </w:r>
    </w:p>
    <w:p w14:paraId="6A506BA0" w14:textId="77777777" w:rsidR="00DD4771" w:rsidRPr="00DD4771" w:rsidRDefault="00DD4771" w:rsidP="00DD4771">
      <w:pPr>
        <w:ind w:left="700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Kapsam</w:t>
      </w:r>
    </w:p>
    <w:p w14:paraId="2A3DD343" w14:textId="307DD1FF" w:rsidR="00DD4771" w:rsidRPr="00DD4771" w:rsidRDefault="00DD4771" w:rsidP="00DD4771">
      <w:pPr>
        <w:spacing w:after="240" w:line="271" w:lineRule="auto"/>
        <w:ind w:right="220" w:firstLine="708"/>
        <w:jc w:val="both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 xml:space="preserve">MADDE 2 – </w:t>
      </w:r>
      <w:r w:rsidRPr="00DD4771">
        <w:rPr>
          <w:rFonts w:eastAsia="Times New Roman"/>
          <w:sz w:val="24"/>
          <w:szCs w:val="24"/>
        </w:rPr>
        <w:t>(1)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Bu Yönerge, Türk Hava Kurumu Üniversitesinde öğretim görevlisi ve araştırma görevlisi kadrolarına yapılacak atamaları ve görev süresi uzatılacak olan öğretim elemanlarının durumlarının değerlendirilmesinde uygulanacak esasları ve ölçütleri kapsar.</w:t>
      </w:r>
    </w:p>
    <w:p w14:paraId="20DE67AA" w14:textId="77777777" w:rsidR="00DD4771" w:rsidRPr="00DD4771" w:rsidRDefault="00DD4771" w:rsidP="00DD4771">
      <w:pPr>
        <w:ind w:left="700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Dayanak</w:t>
      </w:r>
    </w:p>
    <w:p w14:paraId="0F3BB2B0" w14:textId="23FB18EB" w:rsidR="00DD4771" w:rsidRPr="00DD4771" w:rsidRDefault="00DD4771" w:rsidP="00DD4771">
      <w:pPr>
        <w:spacing w:after="240" w:line="289" w:lineRule="auto"/>
        <w:ind w:right="220" w:firstLine="708"/>
        <w:jc w:val="both"/>
        <w:rPr>
          <w:rFonts w:eastAsia="Times New Roman"/>
          <w:b/>
          <w:bCs/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 xml:space="preserve">MADDE 3 – </w:t>
      </w:r>
      <w:r w:rsidRPr="00DD4771">
        <w:rPr>
          <w:rFonts w:eastAsia="Times New Roman"/>
          <w:sz w:val="24"/>
          <w:szCs w:val="24"/>
        </w:rPr>
        <w:t>(1)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Bu Yönerge,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2547 sayılı Yükseköğretim Kanunu</w:t>
      </w:r>
      <w:r w:rsidR="00285505">
        <w:rPr>
          <w:rFonts w:eastAsia="Times New Roman"/>
          <w:sz w:val="24"/>
          <w:szCs w:val="24"/>
        </w:rPr>
        <w:t xml:space="preserve"> ile</w:t>
      </w:r>
      <w:r w:rsidRPr="00DD4771">
        <w:rPr>
          <w:rFonts w:eastAsia="Times New Roman"/>
          <w:sz w:val="24"/>
          <w:szCs w:val="24"/>
        </w:rPr>
        <w:t xml:space="preserve"> </w:t>
      </w:r>
      <w:hyperlink r:id="rId7" w:tgtFrame="_blank" w:history="1">
        <w:r w:rsidRPr="00DD4771">
          <w:rPr>
            <w:rStyle w:val="Kpr"/>
            <w:rFonts w:eastAsia="Times New Roman"/>
            <w:color w:val="auto"/>
            <w:sz w:val="24"/>
            <w:szCs w:val="24"/>
            <w:u w:val="none"/>
          </w:rPr>
          <w:t xml:space="preserve">Öğretim Üyesi Dışındaki Öğretim Elemanı Kadrolarına Yapılacak Atamalarda </w:t>
        </w:r>
        <w:r w:rsidR="00285505">
          <w:rPr>
            <w:rStyle w:val="Kpr"/>
            <w:rFonts w:eastAsia="Times New Roman"/>
            <w:color w:val="auto"/>
            <w:sz w:val="24"/>
            <w:szCs w:val="24"/>
            <w:u w:val="none"/>
          </w:rPr>
          <w:t>U</w:t>
        </w:r>
        <w:r w:rsidRPr="00DD4771">
          <w:rPr>
            <w:rStyle w:val="Kpr"/>
            <w:rFonts w:eastAsia="Times New Roman"/>
            <w:color w:val="auto"/>
            <w:sz w:val="24"/>
            <w:szCs w:val="24"/>
            <w:u w:val="none"/>
          </w:rPr>
          <w:t xml:space="preserve">ygulanacak Merkezi Sınav </w:t>
        </w:r>
        <w:r w:rsidR="00285505">
          <w:rPr>
            <w:rStyle w:val="Kpr"/>
            <w:rFonts w:eastAsia="Times New Roman"/>
            <w:color w:val="auto"/>
            <w:sz w:val="24"/>
            <w:szCs w:val="24"/>
            <w:u w:val="none"/>
          </w:rPr>
          <w:t>i</w:t>
        </w:r>
        <w:r w:rsidRPr="00DD4771">
          <w:rPr>
            <w:rStyle w:val="Kpr"/>
            <w:rFonts w:eastAsia="Times New Roman"/>
            <w:color w:val="auto"/>
            <w:sz w:val="24"/>
            <w:szCs w:val="24"/>
            <w:u w:val="none"/>
          </w:rPr>
          <w:t>le Giriş Sınavlarına İlişkin Usul ve Esaslar Hakkında Yönetmelik</w:t>
        </w:r>
      </w:hyperlink>
      <w:r w:rsidRPr="00DD4771">
        <w:rPr>
          <w:rFonts w:eastAsia="Times New Roman"/>
          <w:sz w:val="24"/>
          <w:szCs w:val="24"/>
        </w:rPr>
        <w:t>’e dayanılarak hazırlanmıştır.</w:t>
      </w:r>
    </w:p>
    <w:p w14:paraId="0042B9D2" w14:textId="77777777" w:rsidR="00DD4771" w:rsidRPr="00DD4771" w:rsidRDefault="00DD4771" w:rsidP="00DD4771">
      <w:pPr>
        <w:ind w:left="700"/>
        <w:rPr>
          <w:rFonts w:eastAsia="Times New Roman"/>
          <w:b/>
          <w:bCs/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Genel şartlar</w:t>
      </w:r>
    </w:p>
    <w:p w14:paraId="1ADF6364" w14:textId="77777777" w:rsidR="00DD4771" w:rsidRPr="00DD4771" w:rsidRDefault="00DD4771" w:rsidP="00DD4771">
      <w:pPr>
        <w:spacing w:line="271" w:lineRule="auto"/>
        <w:ind w:right="220" w:firstLine="708"/>
        <w:jc w:val="both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MADDE 4</w:t>
      </w:r>
      <w:r w:rsidRPr="00DD4771">
        <w:rPr>
          <w:b/>
          <w:bCs/>
          <w:sz w:val="24"/>
          <w:szCs w:val="24"/>
        </w:rPr>
        <w:t xml:space="preserve"> – </w:t>
      </w:r>
      <w:r w:rsidRPr="00DD4771">
        <w:rPr>
          <w:rFonts w:eastAsia="Times New Roman"/>
          <w:sz w:val="24"/>
          <w:szCs w:val="24"/>
        </w:rPr>
        <w:t>(1) Bu Yönetmelik kapsamındaki öğretim elemanı kadrolarına yapılacak atamalarda, 657 sayılı Devlet Memurları Kanunu’nun 48 inci maddesinde belirtilen şartları taşımak gerekir.</w:t>
      </w:r>
    </w:p>
    <w:p w14:paraId="06F4AC5B" w14:textId="77777777" w:rsidR="00DD4771" w:rsidRPr="00DD4771" w:rsidRDefault="00DD4771" w:rsidP="00DD4771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b/>
          <w:bCs/>
          <w:sz w:val="24"/>
          <w:szCs w:val="24"/>
        </w:rPr>
      </w:pPr>
      <w:r w:rsidRPr="00DD4771">
        <w:rPr>
          <w:b/>
          <w:bCs/>
          <w:sz w:val="24"/>
          <w:szCs w:val="24"/>
        </w:rPr>
        <w:t>Tanımlar</w:t>
      </w:r>
    </w:p>
    <w:p w14:paraId="67EE07B5" w14:textId="417B9840" w:rsidR="00DD4771" w:rsidRPr="00DD4771" w:rsidRDefault="00DD4771" w:rsidP="00F75CB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MADDE</w:t>
      </w:r>
      <w:r w:rsidRPr="00DD4771">
        <w:rPr>
          <w:rFonts w:eastAsia="Times New Roman"/>
          <w:sz w:val="24"/>
          <w:szCs w:val="24"/>
        </w:rPr>
        <w:t> </w:t>
      </w:r>
      <w:r w:rsidRPr="00DD4771">
        <w:rPr>
          <w:b/>
          <w:bCs/>
          <w:sz w:val="24"/>
          <w:szCs w:val="24"/>
        </w:rPr>
        <w:t>5</w:t>
      </w:r>
      <w:r w:rsidRPr="00DD4771">
        <w:rPr>
          <w:rFonts w:eastAsia="Times New Roman"/>
          <w:sz w:val="24"/>
          <w:szCs w:val="24"/>
        </w:rPr>
        <w:t> </w:t>
      </w:r>
      <w:r w:rsidRPr="00DD4771">
        <w:rPr>
          <w:rFonts w:eastAsia="Times New Roman"/>
          <w:b/>
          <w:bCs/>
          <w:sz w:val="24"/>
          <w:szCs w:val="24"/>
        </w:rPr>
        <w:t>–</w:t>
      </w:r>
      <w:r w:rsidRPr="00DD4771">
        <w:rPr>
          <w:rFonts w:eastAsia="Times New Roman"/>
          <w:sz w:val="24"/>
          <w:szCs w:val="24"/>
        </w:rPr>
        <w:t> (1)</w:t>
      </w:r>
      <w:r w:rsidRPr="00DD4771">
        <w:rPr>
          <w:b/>
          <w:bCs/>
          <w:sz w:val="24"/>
          <w:szCs w:val="24"/>
        </w:rPr>
        <w:t xml:space="preserve"> </w:t>
      </w:r>
      <w:r w:rsidRPr="00DD4771">
        <w:rPr>
          <w:sz w:val="24"/>
          <w:szCs w:val="24"/>
        </w:rPr>
        <w:t xml:space="preserve">Bu </w:t>
      </w:r>
      <w:proofErr w:type="spellStart"/>
      <w:r w:rsidRPr="00DD4771">
        <w:rPr>
          <w:sz w:val="24"/>
          <w:szCs w:val="24"/>
        </w:rPr>
        <w:t>Yönerge’de</w:t>
      </w:r>
      <w:proofErr w:type="spellEnd"/>
      <w:r w:rsidRPr="00DD4771">
        <w:rPr>
          <w:sz w:val="24"/>
          <w:szCs w:val="24"/>
        </w:rPr>
        <w:t xml:space="preserve"> geçen;</w:t>
      </w:r>
    </w:p>
    <w:p w14:paraId="31AAA6FC" w14:textId="16922F03" w:rsidR="00DD4771" w:rsidRPr="00F75CB0" w:rsidRDefault="00DD4771" w:rsidP="00F75CB0">
      <w:pPr>
        <w:pStyle w:val="ListeParagraf"/>
        <w:numPr>
          <w:ilvl w:val="0"/>
          <w:numId w:val="1"/>
        </w:numPr>
        <w:spacing w:line="270" w:lineRule="auto"/>
        <w:ind w:right="220"/>
        <w:jc w:val="both"/>
        <w:rPr>
          <w:sz w:val="24"/>
          <w:szCs w:val="24"/>
        </w:rPr>
      </w:pPr>
      <w:r w:rsidRPr="00F75CB0">
        <w:rPr>
          <w:sz w:val="24"/>
          <w:szCs w:val="24"/>
        </w:rPr>
        <w:t>Mütevelli Heyet: Türk Hava Kurumu Üniversitesi Mütevelli Heyetini,</w:t>
      </w:r>
    </w:p>
    <w:p w14:paraId="7AD4F187" w14:textId="30DB6E7D" w:rsidR="00DD4771" w:rsidRPr="00F75CB0" w:rsidRDefault="00DD4771" w:rsidP="00F75CB0">
      <w:pPr>
        <w:pStyle w:val="ListeParagraf"/>
        <w:numPr>
          <w:ilvl w:val="0"/>
          <w:numId w:val="1"/>
        </w:numPr>
        <w:spacing w:line="270" w:lineRule="auto"/>
        <w:ind w:right="220"/>
        <w:jc w:val="both"/>
        <w:rPr>
          <w:sz w:val="24"/>
          <w:szCs w:val="24"/>
        </w:rPr>
      </w:pPr>
      <w:r w:rsidRPr="00F75CB0">
        <w:rPr>
          <w:sz w:val="24"/>
          <w:szCs w:val="24"/>
        </w:rPr>
        <w:t>Rektör: Türk Hava Kurumu Üniversitesi Rektörünü,</w:t>
      </w:r>
    </w:p>
    <w:p w14:paraId="5642BC08" w14:textId="4A2530B1" w:rsidR="00DD4771" w:rsidRPr="00F75CB0" w:rsidRDefault="00DD4771" w:rsidP="00F75CB0">
      <w:pPr>
        <w:pStyle w:val="ListeParagraf"/>
        <w:numPr>
          <w:ilvl w:val="0"/>
          <w:numId w:val="1"/>
        </w:numPr>
        <w:spacing w:line="270" w:lineRule="auto"/>
        <w:ind w:right="220"/>
        <w:jc w:val="both"/>
        <w:rPr>
          <w:sz w:val="24"/>
          <w:szCs w:val="24"/>
        </w:rPr>
      </w:pPr>
      <w:r w:rsidRPr="00F75CB0">
        <w:rPr>
          <w:sz w:val="24"/>
          <w:szCs w:val="24"/>
        </w:rPr>
        <w:t>Üniversite: Türk Hava Kurumu Üniversitesini,</w:t>
      </w:r>
    </w:p>
    <w:p w14:paraId="59345FA3" w14:textId="77777777" w:rsidR="00DD4771" w:rsidRPr="00DD4771" w:rsidRDefault="00DD4771" w:rsidP="00DD4771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sz w:val="24"/>
          <w:szCs w:val="24"/>
        </w:rPr>
      </w:pPr>
      <w:proofErr w:type="gramStart"/>
      <w:r w:rsidRPr="00DD4771">
        <w:rPr>
          <w:sz w:val="24"/>
          <w:szCs w:val="24"/>
        </w:rPr>
        <w:t>ifade</w:t>
      </w:r>
      <w:proofErr w:type="gramEnd"/>
      <w:r w:rsidRPr="00DD4771">
        <w:rPr>
          <w:sz w:val="24"/>
          <w:szCs w:val="24"/>
        </w:rPr>
        <w:t xml:space="preserve"> eder.</w:t>
      </w:r>
    </w:p>
    <w:p w14:paraId="4945DD29" w14:textId="77777777" w:rsidR="00DD4771" w:rsidRPr="00DD4771" w:rsidRDefault="00DD4771" w:rsidP="00DD4771">
      <w:pPr>
        <w:ind w:right="220"/>
        <w:jc w:val="center"/>
        <w:rPr>
          <w:rFonts w:eastAsia="Times New Roman"/>
          <w:b/>
          <w:bCs/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İKİNCİ BÖLÜM</w:t>
      </w:r>
    </w:p>
    <w:p w14:paraId="18424BC8" w14:textId="26F6DD37" w:rsidR="00DD4771" w:rsidRPr="00DD4771" w:rsidRDefault="00285505" w:rsidP="00DD4771">
      <w:pPr>
        <w:spacing w:after="240"/>
        <w:ind w:right="2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İlk Atamalar </w:t>
      </w:r>
    </w:p>
    <w:p w14:paraId="74BAF11B" w14:textId="6F0D1000" w:rsidR="00DD4771" w:rsidRPr="00DD4771" w:rsidRDefault="00DD4771" w:rsidP="00285505">
      <w:pPr>
        <w:spacing w:line="270" w:lineRule="auto"/>
        <w:ind w:right="220" w:firstLine="708"/>
        <w:jc w:val="both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 xml:space="preserve">MADDE 6 – </w:t>
      </w:r>
      <w:r w:rsidRPr="00DD4771">
        <w:rPr>
          <w:rFonts w:eastAsia="Times New Roman"/>
          <w:sz w:val="24"/>
          <w:szCs w:val="24"/>
        </w:rPr>
        <w:t xml:space="preserve">(1) </w:t>
      </w:r>
      <w:r w:rsidR="00285505" w:rsidRPr="00285505">
        <w:rPr>
          <w:rFonts w:eastAsia="Times New Roman"/>
          <w:sz w:val="24"/>
          <w:szCs w:val="24"/>
        </w:rPr>
        <w:t xml:space="preserve">Türk Hava Kurumu Üniversitesi birimlerine ilan edilen </w:t>
      </w:r>
      <w:r w:rsidR="003E5E53">
        <w:rPr>
          <w:rFonts w:eastAsia="Times New Roman"/>
          <w:sz w:val="24"/>
          <w:szCs w:val="24"/>
        </w:rPr>
        <w:t xml:space="preserve">öğretim görevlisi ve araştırma görevlisi </w:t>
      </w:r>
      <w:r w:rsidR="00285505" w:rsidRPr="00285505">
        <w:rPr>
          <w:rFonts w:eastAsia="Times New Roman"/>
          <w:sz w:val="24"/>
          <w:szCs w:val="24"/>
        </w:rPr>
        <w:t>kadrolar</w:t>
      </w:r>
      <w:r w:rsidR="003E5E53">
        <w:rPr>
          <w:rFonts w:eastAsia="Times New Roman"/>
          <w:sz w:val="24"/>
          <w:szCs w:val="24"/>
        </w:rPr>
        <w:t>ın</w:t>
      </w:r>
      <w:r w:rsidR="00285505" w:rsidRPr="00285505">
        <w:rPr>
          <w:rFonts w:eastAsia="Times New Roman"/>
          <w:sz w:val="24"/>
          <w:szCs w:val="24"/>
        </w:rPr>
        <w:t>a ilk atamalar</w:t>
      </w:r>
      <w:r w:rsidR="00285505">
        <w:rPr>
          <w:rFonts w:eastAsia="Times New Roman"/>
          <w:sz w:val="24"/>
          <w:szCs w:val="24"/>
        </w:rPr>
        <w:t>,</w:t>
      </w:r>
      <w:r w:rsidR="00285505" w:rsidRPr="00285505">
        <w:rPr>
          <w:rFonts w:eastAsia="Times New Roman"/>
          <w:sz w:val="24"/>
          <w:szCs w:val="24"/>
        </w:rPr>
        <w:t xml:space="preserve"> Öğretim Üyesi Dışındaki Öğretim Elemanı Kadrolarına Yapılacak Atamalarda </w:t>
      </w:r>
      <w:r w:rsidR="003E5E53">
        <w:rPr>
          <w:rFonts w:eastAsia="Times New Roman"/>
          <w:sz w:val="24"/>
          <w:szCs w:val="24"/>
        </w:rPr>
        <w:t>U</w:t>
      </w:r>
      <w:r w:rsidR="00285505" w:rsidRPr="00285505">
        <w:rPr>
          <w:rFonts w:eastAsia="Times New Roman"/>
          <w:sz w:val="24"/>
          <w:szCs w:val="24"/>
        </w:rPr>
        <w:t>ygulanacak Merkezi Sınav ile Giriş Sınavlarına İlişkin Usul ve Esaslar Hakkında Yönetmelik</w:t>
      </w:r>
      <w:r w:rsidR="00285505">
        <w:rPr>
          <w:rFonts w:eastAsia="Times New Roman"/>
          <w:sz w:val="24"/>
          <w:szCs w:val="24"/>
        </w:rPr>
        <w:t xml:space="preserve"> </w:t>
      </w:r>
      <w:r w:rsidR="003E5E53">
        <w:rPr>
          <w:rFonts w:eastAsia="Times New Roman"/>
          <w:sz w:val="24"/>
          <w:szCs w:val="24"/>
        </w:rPr>
        <w:t>hükümleri doğrultusunda yapılır.</w:t>
      </w:r>
    </w:p>
    <w:p w14:paraId="0B21EBB9" w14:textId="76297CCC" w:rsidR="00DD4771" w:rsidRPr="00DD4771" w:rsidRDefault="00DD4771" w:rsidP="00DD4771">
      <w:pPr>
        <w:spacing w:before="240" w:line="270" w:lineRule="auto"/>
        <w:ind w:right="220" w:firstLine="708"/>
        <w:jc w:val="both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 xml:space="preserve">MADDE 7 – </w:t>
      </w:r>
      <w:r w:rsidRPr="00DD4771">
        <w:rPr>
          <w:rFonts w:eastAsia="Times New Roman"/>
          <w:sz w:val="24"/>
          <w:szCs w:val="24"/>
        </w:rPr>
        <w:t>(1)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="003E5E53" w:rsidRPr="003E5E53">
        <w:rPr>
          <w:rFonts w:eastAsia="Times New Roman"/>
          <w:sz w:val="24"/>
          <w:szCs w:val="24"/>
        </w:rPr>
        <w:t>İ</w:t>
      </w:r>
      <w:r w:rsidRPr="003E5E53">
        <w:rPr>
          <w:rFonts w:eastAsia="Times New Roman"/>
          <w:sz w:val="24"/>
          <w:szCs w:val="24"/>
        </w:rPr>
        <w:t>l</w:t>
      </w:r>
      <w:r w:rsidRPr="00DD4771">
        <w:rPr>
          <w:rFonts w:eastAsia="Times New Roman"/>
          <w:sz w:val="24"/>
          <w:szCs w:val="24"/>
        </w:rPr>
        <w:t xml:space="preserve">an edilen kadrolara ilk atamalarda mevzuatta belirtilen koşullara ilaveten </w:t>
      </w:r>
      <w:r w:rsidR="003E5E53">
        <w:rPr>
          <w:rFonts w:eastAsia="Times New Roman"/>
          <w:sz w:val="24"/>
          <w:szCs w:val="24"/>
        </w:rPr>
        <w:t xml:space="preserve">Senato tarafından belirlenen </w:t>
      </w:r>
      <w:r w:rsidRPr="00DD4771">
        <w:rPr>
          <w:rFonts w:eastAsia="Times New Roman"/>
          <w:sz w:val="24"/>
          <w:szCs w:val="24"/>
        </w:rPr>
        <w:t xml:space="preserve">ek koşullar </w:t>
      </w:r>
      <w:r w:rsidR="003E5E53">
        <w:rPr>
          <w:rFonts w:eastAsia="Times New Roman"/>
          <w:sz w:val="24"/>
          <w:szCs w:val="24"/>
        </w:rPr>
        <w:t>varsa adayların bu koşulları</w:t>
      </w:r>
      <w:r w:rsidR="00285505">
        <w:rPr>
          <w:rFonts w:eastAsia="Times New Roman"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 xml:space="preserve">sağlaması gerekir. </w:t>
      </w:r>
    </w:p>
    <w:p w14:paraId="2F5CCA8F" w14:textId="77777777" w:rsidR="00DD4771" w:rsidRPr="00DD4771" w:rsidRDefault="00DD4771" w:rsidP="00DD4771">
      <w:pPr>
        <w:ind w:left="700"/>
        <w:rPr>
          <w:rFonts w:eastAsia="Times New Roman"/>
          <w:b/>
          <w:strike/>
          <w:sz w:val="24"/>
          <w:szCs w:val="24"/>
        </w:rPr>
      </w:pPr>
    </w:p>
    <w:p w14:paraId="4CA0F7CA" w14:textId="77777777" w:rsidR="00DD4771" w:rsidRPr="00DD4771" w:rsidRDefault="00DD4771" w:rsidP="00D26B82">
      <w:pPr>
        <w:spacing w:before="240"/>
        <w:ind w:right="220"/>
        <w:jc w:val="center"/>
        <w:rPr>
          <w:rFonts w:eastAsia="Times New Roman"/>
          <w:b/>
          <w:bCs/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ÜÇÜNCÜ BÖLÜM</w:t>
      </w:r>
    </w:p>
    <w:p w14:paraId="564EEEAD" w14:textId="77777777" w:rsidR="00DD4771" w:rsidRPr="00DD4771" w:rsidRDefault="00DD4771" w:rsidP="00DD4771">
      <w:pPr>
        <w:spacing w:after="240"/>
        <w:ind w:right="220"/>
        <w:jc w:val="center"/>
        <w:rPr>
          <w:rFonts w:eastAsia="Times New Roman"/>
          <w:b/>
          <w:bCs/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Yeniden atamalar ve Görev Süresi uzatmalar</w:t>
      </w:r>
    </w:p>
    <w:p w14:paraId="2D274B13" w14:textId="70E57B8F" w:rsidR="00DD4771" w:rsidRPr="00DD4771" w:rsidRDefault="00DD4771" w:rsidP="00DD4771">
      <w:pPr>
        <w:spacing w:line="264" w:lineRule="auto"/>
        <w:ind w:right="140" w:firstLine="852"/>
        <w:jc w:val="both"/>
        <w:rPr>
          <w:sz w:val="24"/>
          <w:szCs w:val="24"/>
        </w:rPr>
      </w:pPr>
      <w:r w:rsidRPr="00DD4771">
        <w:rPr>
          <w:b/>
          <w:bCs/>
          <w:sz w:val="24"/>
          <w:szCs w:val="24"/>
        </w:rPr>
        <w:t>MADDE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="00F75CB0">
        <w:rPr>
          <w:rFonts w:eastAsia="Times New Roman"/>
          <w:b/>
          <w:bCs/>
          <w:sz w:val="24"/>
          <w:szCs w:val="24"/>
        </w:rPr>
        <w:t>8</w:t>
      </w:r>
      <w:r w:rsidRPr="00DD4771">
        <w:rPr>
          <w:rFonts w:eastAsia="Times New Roman"/>
          <w:b/>
          <w:bCs/>
          <w:sz w:val="24"/>
          <w:szCs w:val="24"/>
        </w:rPr>
        <w:t xml:space="preserve"> – </w:t>
      </w:r>
      <w:r w:rsidRPr="00DD4771">
        <w:rPr>
          <w:rFonts w:eastAsia="Times New Roman"/>
          <w:sz w:val="24"/>
          <w:szCs w:val="24"/>
        </w:rPr>
        <w:t>(1)</w:t>
      </w:r>
      <w:r w:rsidRPr="00DD4771">
        <w:rPr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Öğretim elemanlarının süresinin sonunda görev kendiliğinden sona erer.</w:t>
      </w:r>
    </w:p>
    <w:p w14:paraId="5777E4C7" w14:textId="77777777" w:rsidR="00DD4771" w:rsidRDefault="00DD4771" w:rsidP="00DD4771">
      <w:pPr>
        <w:spacing w:line="264" w:lineRule="auto"/>
        <w:ind w:right="140" w:firstLine="852"/>
        <w:jc w:val="both"/>
        <w:rPr>
          <w:rFonts w:eastAsia="Times New Roman"/>
          <w:sz w:val="24"/>
          <w:szCs w:val="24"/>
        </w:rPr>
      </w:pPr>
      <w:r w:rsidRPr="00DD4771">
        <w:rPr>
          <w:rFonts w:eastAsia="Times New Roman"/>
          <w:sz w:val="24"/>
          <w:szCs w:val="24"/>
        </w:rPr>
        <w:lastRenderedPageBreak/>
        <w:t>(2) Görev süresi sona eren öğretim elemanını yeniden atanmasında ve görev süresinin uzatımında mevzuat hükümlerine ilaveten üniversitenin Akademik Personel Performans Ölçme ve Değerlendirme Yönergesi dikkate alınır.</w:t>
      </w:r>
    </w:p>
    <w:p w14:paraId="29FDEFA7" w14:textId="77777777" w:rsidR="00285505" w:rsidRPr="00DD4771" w:rsidRDefault="00285505" w:rsidP="00DD4771">
      <w:pPr>
        <w:spacing w:line="264" w:lineRule="auto"/>
        <w:ind w:right="140" w:firstLine="852"/>
        <w:jc w:val="both"/>
        <w:rPr>
          <w:rFonts w:eastAsia="Times New Roman"/>
          <w:sz w:val="24"/>
          <w:szCs w:val="24"/>
        </w:rPr>
      </w:pPr>
    </w:p>
    <w:p w14:paraId="2D69313C" w14:textId="77777777" w:rsidR="00DD4771" w:rsidRPr="00DD4771" w:rsidRDefault="00DD4771" w:rsidP="00DD4771">
      <w:pPr>
        <w:spacing w:before="240"/>
        <w:ind w:right="140"/>
        <w:jc w:val="center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 xml:space="preserve">DÖRDÜNCÜ </w:t>
      </w:r>
      <w:r w:rsidRPr="00DD4771">
        <w:rPr>
          <w:rFonts w:eastAsia="Times New Roman"/>
          <w:b/>
          <w:sz w:val="24"/>
          <w:szCs w:val="24"/>
        </w:rPr>
        <w:t>BÖLÜM</w:t>
      </w:r>
    </w:p>
    <w:p w14:paraId="379291FB" w14:textId="77777777" w:rsidR="00DD4771" w:rsidRPr="00DD4771" w:rsidRDefault="00DD4771" w:rsidP="00DD4771">
      <w:pPr>
        <w:spacing w:after="240"/>
        <w:ind w:right="120"/>
        <w:jc w:val="center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Çeşitli ve Son Hükümler</w:t>
      </w:r>
    </w:p>
    <w:p w14:paraId="0CF71318" w14:textId="77777777" w:rsidR="00DD4771" w:rsidRPr="00DD4771" w:rsidRDefault="00DD4771" w:rsidP="00DD4771">
      <w:pPr>
        <w:ind w:left="800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Başvuru ölçütleri ve puanları</w:t>
      </w:r>
    </w:p>
    <w:p w14:paraId="7DA42913" w14:textId="64FF9447" w:rsidR="00DD4771" w:rsidRPr="00DD4771" w:rsidRDefault="00DD4771" w:rsidP="00DD4771">
      <w:pPr>
        <w:spacing w:after="240" w:line="288" w:lineRule="auto"/>
        <w:ind w:left="100" w:right="220" w:firstLine="708"/>
        <w:jc w:val="both"/>
        <w:rPr>
          <w:sz w:val="24"/>
          <w:szCs w:val="24"/>
        </w:rPr>
      </w:pPr>
      <w:r w:rsidRPr="00DD4771">
        <w:rPr>
          <w:b/>
          <w:bCs/>
          <w:sz w:val="24"/>
          <w:szCs w:val="24"/>
        </w:rPr>
        <w:t>MADDE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="00F75CB0">
        <w:rPr>
          <w:rFonts w:eastAsia="Times New Roman"/>
          <w:b/>
          <w:bCs/>
          <w:sz w:val="24"/>
          <w:szCs w:val="24"/>
        </w:rPr>
        <w:t>9</w:t>
      </w:r>
      <w:r w:rsidRPr="00DD4771">
        <w:rPr>
          <w:rFonts w:eastAsia="Times New Roman"/>
          <w:b/>
          <w:bCs/>
          <w:sz w:val="24"/>
          <w:szCs w:val="24"/>
        </w:rPr>
        <w:t xml:space="preserve"> – </w:t>
      </w:r>
      <w:r w:rsidRPr="00DD4771">
        <w:rPr>
          <w:rFonts w:eastAsia="Times New Roman"/>
          <w:sz w:val="24"/>
          <w:szCs w:val="24"/>
        </w:rPr>
        <w:t>(1) Türk Hava Kurumu Üniversitesi öğretim üyesi</w:t>
      </w:r>
      <w:r w:rsidR="00285505">
        <w:rPr>
          <w:rFonts w:eastAsia="Times New Roman"/>
          <w:sz w:val="24"/>
          <w:szCs w:val="24"/>
        </w:rPr>
        <w:t xml:space="preserve"> </w:t>
      </w:r>
      <w:r w:rsidR="00D26B82">
        <w:rPr>
          <w:rFonts w:eastAsia="Times New Roman"/>
          <w:sz w:val="24"/>
          <w:szCs w:val="24"/>
        </w:rPr>
        <w:t>dışındaki</w:t>
      </w:r>
      <w:r w:rsidRPr="00DD4771">
        <w:rPr>
          <w:rFonts w:eastAsia="Times New Roman"/>
          <w:sz w:val="24"/>
          <w:szCs w:val="24"/>
        </w:rPr>
        <w:t xml:space="preserve"> kadrolarına başvuruda bulunan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adayların akademik ve bilimsel faaliyetlerinin değerlendirilmesine ilişkin toplam başvuru puanının hesaplanmasında performans için hazırlanan tablo esas alınır.</w:t>
      </w:r>
    </w:p>
    <w:p w14:paraId="1DC8C84C" w14:textId="77777777" w:rsidR="00DD4771" w:rsidRPr="00DD4771" w:rsidRDefault="00DD4771" w:rsidP="00DD4771">
      <w:pPr>
        <w:ind w:left="800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Hüküm bulunmayan haller</w:t>
      </w:r>
    </w:p>
    <w:p w14:paraId="17531A21" w14:textId="1D8BE545" w:rsidR="00DD4771" w:rsidRPr="00285505" w:rsidRDefault="00DD4771" w:rsidP="00285505">
      <w:pPr>
        <w:spacing w:after="240" w:line="288" w:lineRule="auto"/>
        <w:ind w:left="100" w:right="220" w:firstLine="708"/>
        <w:jc w:val="both"/>
        <w:rPr>
          <w:rFonts w:eastAsia="Times New Roman"/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MADDE 1</w:t>
      </w:r>
      <w:r w:rsidR="00F75CB0">
        <w:rPr>
          <w:rFonts w:eastAsia="Times New Roman"/>
          <w:b/>
          <w:bCs/>
          <w:sz w:val="24"/>
          <w:szCs w:val="24"/>
        </w:rPr>
        <w:t>0</w:t>
      </w:r>
      <w:r w:rsidRPr="00DD4771">
        <w:rPr>
          <w:rFonts w:eastAsia="Times New Roman"/>
          <w:b/>
          <w:bCs/>
          <w:sz w:val="24"/>
          <w:szCs w:val="24"/>
        </w:rPr>
        <w:t xml:space="preserve"> – </w:t>
      </w:r>
      <w:r w:rsidRPr="00DD4771">
        <w:rPr>
          <w:rFonts w:eastAsia="Times New Roman"/>
          <w:sz w:val="24"/>
          <w:szCs w:val="24"/>
        </w:rPr>
        <w:t>(1)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 xml:space="preserve">Bu </w:t>
      </w:r>
      <w:proofErr w:type="spellStart"/>
      <w:r w:rsidRPr="00DD4771">
        <w:rPr>
          <w:rFonts w:eastAsia="Times New Roman"/>
          <w:sz w:val="24"/>
          <w:szCs w:val="24"/>
        </w:rPr>
        <w:t>Yönerge’de</w:t>
      </w:r>
      <w:proofErr w:type="spellEnd"/>
      <w:r w:rsidRPr="00DD4771">
        <w:rPr>
          <w:rFonts w:eastAsia="Times New Roman"/>
          <w:sz w:val="24"/>
          <w:szCs w:val="24"/>
        </w:rPr>
        <w:t xml:space="preserve"> hüküm bulunmayan hallerde; 2547 sayılı Kanun</w:t>
      </w:r>
      <w:r w:rsidR="003E5E53">
        <w:rPr>
          <w:rFonts w:eastAsia="Times New Roman"/>
          <w:sz w:val="24"/>
          <w:szCs w:val="24"/>
        </w:rPr>
        <w:t>un</w:t>
      </w:r>
      <w:r w:rsidRPr="00DD4771">
        <w:rPr>
          <w:rFonts w:eastAsia="Times New Roman"/>
          <w:sz w:val="24"/>
          <w:szCs w:val="24"/>
        </w:rPr>
        <w:t xml:space="preserve"> </w:t>
      </w:r>
      <w:r w:rsidRPr="00DD4771">
        <w:rPr>
          <w:rFonts w:eastAsia="Times New Roman"/>
          <w:bCs/>
          <w:sz w:val="24"/>
          <w:szCs w:val="24"/>
        </w:rPr>
        <w:t>ilgili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mevzuat hükümleri, Yükseköğretim Kurulu ve Türk Hava Kurumu Üniversitesi Senatosu kararları uygulanır.</w:t>
      </w:r>
    </w:p>
    <w:p w14:paraId="6A1E2AA5" w14:textId="77777777" w:rsidR="00DD4771" w:rsidRPr="00DD4771" w:rsidRDefault="00DD4771" w:rsidP="00DD4771">
      <w:pPr>
        <w:ind w:left="800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Yürürlük</w:t>
      </w:r>
    </w:p>
    <w:p w14:paraId="2256E0CC" w14:textId="7B8CFF9D" w:rsidR="00DD4771" w:rsidRPr="00DD4771" w:rsidRDefault="00DD4771" w:rsidP="00DD4771">
      <w:pPr>
        <w:spacing w:after="240" w:line="266" w:lineRule="auto"/>
        <w:ind w:left="100" w:right="20" w:firstLine="708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MADDE 1</w:t>
      </w:r>
      <w:r w:rsidR="00F75CB0">
        <w:rPr>
          <w:rFonts w:eastAsia="Times New Roman"/>
          <w:b/>
          <w:bCs/>
          <w:sz w:val="24"/>
          <w:szCs w:val="24"/>
        </w:rPr>
        <w:t>1</w:t>
      </w:r>
      <w:r w:rsidRPr="00DD4771">
        <w:rPr>
          <w:rFonts w:eastAsia="Times New Roman"/>
          <w:b/>
          <w:bCs/>
          <w:sz w:val="24"/>
          <w:szCs w:val="24"/>
        </w:rPr>
        <w:t xml:space="preserve"> – </w:t>
      </w:r>
      <w:r w:rsidRPr="00DD4771">
        <w:rPr>
          <w:rFonts w:eastAsia="Times New Roman"/>
          <w:sz w:val="24"/>
          <w:szCs w:val="24"/>
        </w:rPr>
        <w:t>(1)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Bu Yönerge, Türk Hava Kurumu Üniversitesi Mütevelli Heyetin onayladığı tarihte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yürürlüğe girer.</w:t>
      </w:r>
    </w:p>
    <w:p w14:paraId="79FAB850" w14:textId="77777777" w:rsidR="00DD4771" w:rsidRPr="00DD4771" w:rsidRDefault="00DD4771" w:rsidP="00DD4771">
      <w:pPr>
        <w:ind w:left="800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Yürütme</w:t>
      </w:r>
    </w:p>
    <w:p w14:paraId="518DB650" w14:textId="05FE6BBC" w:rsidR="00000000" w:rsidRPr="00156E88" w:rsidRDefault="00DD4771" w:rsidP="00156E88">
      <w:pPr>
        <w:ind w:left="800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MADDE 1</w:t>
      </w:r>
      <w:r w:rsidR="00F75CB0">
        <w:rPr>
          <w:rFonts w:eastAsia="Times New Roman"/>
          <w:b/>
          <w:bCs/>
          <w:sz w:val="24"/>
          <w:szCs w:val="24"/>
        </w:rPr>
        <w:t>2</w:t>
      </w:r>
      <w:r w:rsidRPr="00DD4771">
        <w:rPr>
          <w:rFonts w:eastAsia="Times New Roman"/>
          <w:b/>
          <w:bCs/>
          <w:sz w:val="24"/>
          <w:szCs w:val="24"/>
        </w:rPr>
        <w:t xml:space="preserve"> – </w:t>
      </w:r>
      <w:r w:rsidRPr="00DD4771">
        <w:rPr>
          <w:rFonts w:eastAsia="Times New Roman"/>
          <w:sz w:val="24"/>
          <w:szCs w:val="24"/>
        </w:rPr>
        <w:t>(1)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Bu Yönerge hükümlerini, Türk Hava Kurumu Üniversitesi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Rektörü yürütür.</w:t>
      </w:r>
    </w:p>
    <w:sectPr w:rsidR="001947B5" w:rsidRPr="00156E88" w:rsidSect="00DD4771">
      <w:footerReference w:type="default" r:id="rId8"/>
      <w:pgSz w:w="11920" w:h="16841"/>
      <w:pgMar w:top="993" w:right="851" w:bottom="150" w:left="1140" w:header="0" w:footer="370" w:gutter="0"/>
      <w:cols w:space="708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B975" w14:textId="77777777" w:rsidR="00943345" w:rsidRDefault="00943345" w:rsidP="00DD4771">
      <w:r>
        <w:separator/>
      </w:r>
    </w:p>
  </w:endnote>
  <w:endnote w:type="continuationSeparator" w:id="0">
    <w:p w14:paraId="1636BD8C" w14:textId="77777777" w:rsidR="00943345" w:rsidRDefault="00943345" w:rsidP="00DD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972850"/>
      <w:docPartObj>
        <w:docPartGallery w:val="Page Numbers (Bottom of Page)"/>
        <w:docPartUnique/>
      </w:docPartObj>
    </w:sdtPr>
    <w:sdtContent>
      <w:p w14:paraId="071E75F7" w14:textId="7C2B8C4F" w:rsidR="00000000" w:rsidRPr="00156E88" w:rsidDel="00DD20EC" w:rsidRDefault="007F67DF" w:rsidP="00F75CB0">
        <w:pPr>
          <w:pStyle w:val="AltBilgi"/>
          <w:jc w:val="right"/>
          <w:rPr>
            <w:rFonts w:asciiTheme="minorHAnsi" w:eastAsiaTheme="minorHAnsi" w:hAnsiTheme="minorHAnsi" w:cstheme="minorBidi"/>
            <w:lang w:eastAsia="en-US"/>
          </w:rPr>
        </w:pPr>
        <w:r w:rsidRPr="00DD4771">
          <w:rPr>
            <w:rFonts w:asciiTheme="minorHAnsi" w:eastAsiaTheme="minorHAnsi" w:hAnsiTheme="minorHAnsi" w:cstheme="minorBidi"/>
            <w:lang w:eastAsia="en-US"/>
          </w:rPr>
          <w:t xml:space="preserve">Mütevelli K.T./No: </w:t>
        </w:r>
        <w:r>
          <w:rPr>
            <w:rFonts w:asciiTheme="minorHAnsi" w:eastAsiaTheme="minorHAnsi" w:hAnsiTheme="minorHAnsi" w:cstheme="minorBidi"/>
            <w:lang w:eastAsia="en-US"/>
          </w:rPr>
          <w:t>31</w:t>
        </w:r>
        <w:r w:rsidRPr="00DD4771">
          <w:rPr>
            <w:rFonts w:asciiTheme="minorHAnsi" w:eastAsiaTheme="minorHAnsi" w:hAnsiTheme="minorHAnsi" w:cstheme="minorBidi"/>
            <w:lang w:eastAsia="en-US"/>
          </w:rPr>
          <w:t>.0</w:t>
        </w:r>
        <w:r>
          <w:rPr>
            <w:rFonts w:asciiTheme="minorHAnsi" w:eastAsiaTheme="minorHAnsi" w:hAnsiTheme="minorHAnsi" w:cstheme="minorBidi"/>
            <w:lang w:eastAsia="en-US"/>
          </w:rPr>
          <w:t>7</w:t>
        </w:r>
        <w:r w:rsidRPr="00DD4771">
          <w:rPr>
            <w:rFonts w:asciiTheme="minorHAnsi" w:eastAsiaTheme="minorHAnsi" w:hAnsiTheme="minorHAnsi" w:cstheme="minorBidi"/>
            <w:lang w:eastAsia="en-US"/>
          </w:rPr>
          <w:t>.202</w:t>
        </w:r>
        <w:r>
          <w:rPr>
            <w:rFonts w:asciiTheme="minorHAnsi" w:eastAsiaTheme="minorHAnsi" w:hAnsiTheme="minorHAnsi" w:cstheme="minorBidi"/>
            <w:lang w:eastAsia="en-US"/>
          </w:rPr>
          <w:t>3</w:t>
        </w:r>
        <w:r w:rsidRPr="00DD4771">
          <w:rPr>
            <w:rFonts w:asciiTheme="minorHAnsi" w:eastAsiaTheme="minorHAnsi" w:hAnsiTheme="minorHAnsi" w:cstheme="minorBidi"/>
            <w:lang w:eastAsia="en-US"/>
          </w:rPr>
          <w:t>/0</w:t>
        </w:r>
        <w:r>
          <w:rPr>
            <w:rFonts w:asciiTheme="minorHAnsi" w:eastAsiaTheme="minorHAnsi" w:hAnsiTheme="minorHAnsi" w:cstheme="minorBidi"/>
            <w:lang w:eastAsia="en-US"/>
          </w:rPr>
          <w:t>5</w:t>
        </w:r>
        <w:r w:rsidR="00402AE5">
          <w:t xml:space="preserve">                                                                                      </w:t>
        </w:r>
        <w:r w:rsidR="00DD4771" w:rsidRPr="00DD4771">
          <w:rPr>
            <w:rFonts w:asciiTheme="minorHAnsi" w:eastAsiaTheme="minorHAnsi" w:hAnsiTheme="minorHAnsi" w:cstheme="minorBidi"/>
            <w:lang w:eastAsia="en-US"/>
          </w:rPr>
          <w:t xml:space="preserve">                                                                                          </w:t>
        </w:r>
        <w:r w:rsidR="00DD4771">
          <w:rPr>
            <w:rFonts w:asciiTheme="minorHAnsi" w:eastAsiaTheme="minorHAnsi" w:hAnsiTheme="minorHAnsi" w:cstheme="minorBidi"/>
            <w:lang w:eastAsia="en-US"/>
          </w:rPr>
          <w:t xml:space="preserve">                               </w:t>
        </w:r>
      </w:p>
      <w:p w14:paraId="36A037D5" w14:textId="77777777" w:rsidR="00000000" w:rsidRDefault="00000000">
        <w:pPr>
          <w:pStyle w:val="AltBilgi"/>
          <w:jc w:val="center"/>
        </w:pPr>
      </w:p>
    </w:sdtContent>
  </w:sdt>
  <w:p w14:paraId="3B8ABB93" w14:textId="77777777" w:rsidR="00000000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F85C" w14:textId="77777777" w:rsidR="00943345" w:rsidRDefault="00943345" w:rsidP="00DD4771">
      <w:r>
        <w:separator/>
      </w:r>
    </w:p>
  </w:footnote>
  <w:footnote w:type="continuationSeparator" w:id="0">
    <w:p w14:paraId="650F36C7" w14:textId="77777777" w:rsidR="00943345" w:rsidRDefault="00943345" w:rsidP="00DD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073"/>
    <w:multiLevelType w:val="hybridMultilevel"/>
    <w:tmpl w:val="AD38C8DE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5875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42D"/>
    <w:rsid w:val="00034E84"/>
    <w:rsid w:val="00156E88"/>
    <w:rsid w:val="00253200"/>
    <w:rsid w:val="00285505"/>
    <w:rsid w:val="002B029D"/>
    <w:rsid w:val="003E5E53"/>
    <w:rsid w:val="00402AE5"/>
    <w:rsid w:val="005D134D"/>
    <w:rsid w:val="007F5B12"/>
    <w:rsid w:val="007F67DF"/>
    <w:rsid w:val="008C7CF4"/>
    <w:rsid w:val="00943345"/>
    <w:rsid w:val="009D565B"/>
    <w:rsid w:val="00A72D9E"/>
    <w:rsid w:val="00AF660D"/>
    <w:rsid w:val="00BC3CE2"/>
    <w:rsid w:val="00C00083"/>
    <w:rsid w:val="00D26B82"/>
    <w:rsid w:val="00DD4771"/>
    <w:rsid w:val="00F75CB0"/>
    <w:rsid w:val="00F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D9B8A"/>
  <w15:chartTrackingRefBased/>
  <w15:docId w15:val="{C3084553-DD93-4190-8FBB-C19A3F0D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771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D47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4771"/>
    <w:rPr>
      <w:rFonts w:ascii="Times New Roman" w:eastAsiaTheme="minorEastAsia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DD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477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47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D4771"/>
    <w:rPr>
      <w:rFonts w:ascii="Times New Roman" w:eastAsiaTheme="minorEastAsia" w:hAnsi="Times New Roman" w:cs="Times New Roman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8550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F7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7.5.28947&amp;MevzuatIliski=0&amp;sourceXmlSearch=%C3%96%C4%9Fretim%20%C3%9Cyesi%20D%C4%B1%C5%9F%C4%B1nda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KAYA GÜNEŞER</dc:creator>
  <cp:keywords/>
  <dc:description/>
  <cp:lastModifiedBy>Pelin KAYA GÜNEŞER</cp:lastModifiedBy>
  <cp:revision>6</cp:revision>
  <dcterms:created xsi:type="dcterms:W3CDTF">2023-04-26T06:29:00Z</dcterms:created>
  <dcterms:modified xsi:type="dcterms:W3CDTF">2023-08-14T07:20:00Z</dcterms:modified>
</cp:coreProperties>
</file>